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0460"/>
        <w:gridCol w:w="222"/>
      </w:tblGrid>
      <w:tr w:rsidR="00DA6777" w:rsidTr="00822908">
        <w:tc>
          <w:tcPr>
            <w:tcW w:w="376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0530E" w:rsidRDefault="00431C9D" w:rsidP="00822908">
            <w:r>
              <w:rPr>
                <w:noProof/>
                <w:lang w:eastAsia="en-IE"/>
              </w:rPr>
              <w:drawing>
                <wp:inline distT="0" distB="0" distL="0" distR="0">
                  <wp:extent cx="6645910" cy="640080"/>
                  <wp:effectExtent l="0" t="0" r="2540" b="762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ord_header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45910" cy="6400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39" w:type="pct"/>
            <w:tcBorders>
              <w:top w:val="nil"/>
              <w:left w:val="nil"/>
              <w:bottom w:val="nil"/>
              <w:right w:val="nil"/>
            </w:tcBorders>
          </w:tcPr>
          <w:p w:rsidR="000C29E7" w:rsidRDefault="000C29E7" w:rsidP="000E3AAA">
            <w:pPr>
              <w:jc w:val="right"/>
            </w:pPr>
          </w:p>
        </w:tc>
      </w:tr>
    </w:tbl>
    <w:p/>
    <w:tbl>
      <w:tblPr>
        <w:tblStyle w:val="NormalTablePHPDOCX"/>
        <w:tblW w:w="5000" w:type="pct"/>
        <w:tblInd w:w="0" w:type="auto"/>
        <w:tblBorders>
          <w:top w:val="dotted" w:color="EB8509" w:sz="5"/>
          <w:left w:val="dotted" w:color="EB8509" w:sz="5"/>
          <w:bottom w:val="dotted" w:color="EB8509" w:sz="5"/>
          <w:right w:val="dotted" w:color="EB8509" w:sz="5"/>
        </w:tblBorders>
      </w:tblPr>
      <w:tblGrid>
        <w:gridCol/>
        <w:gridCol/>
        <w:gridCol/>
        <w:gridCol/>
        <w:gridCol/>
        <w:gridCol/>
        <w:gridCol/>
      </w:tblGrid>
      <w:tr>
        <w:trPr>
          <w:trHeight w:val="0" w:hRule="atLeast"/>
          <w:jc w:val="left"/>
        </w:trPr>
        <w:tc>
          <w:tcPr>
            <w:tcW w:w="3500" w:type="pct"/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shd w:val="clear" w:color="auto" w:fill="FFFFCC"/>
            <w:tcMar>
              <w:top w:w="15" w:type="dxa"/>
              <w:bottom w:w="15" w:type="dxa"/>
            </w:tcMar>
            <w:vAlign w:val="center"/>
          </w:tcPr>
          <w:p>
            <w:pPr>
              <w:widowControl w:val="on"/>
              <w:pBdr/>
              <w:spacing w:before="0" w:after="0" w:line="240" w:lineRule="auto"/>
              <w:ind w:left="0" w:right="0"/>
              <w:jc w:val="left"/>
            </w:pPr>
            <w:r>
              <w:rPr>
                <w:b/>
                <w:color w:val="000000"/>
                <w:position w:val="-3"/>
                <w:sz w:val="22"/>
                <w:szCs w:val="22"/>
              </w:rPr>
              <w:t xml:space="preserve">Student Name: </w:t>
            </w:r>
          </w:p>
        </w:tc>
        <w:tc>
          <w:tcPr>
            <w:tcW w:w="1500" w:type="pct"/>
            <w:gridSpan w:val="6"/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shd w:val="clear" w:color="auto" w:fill="FFFFCC"/>
            <w:tcMar>
              <w:top w:w="15" w:type="dxa"/>
              <w:bottom w:w="15" w:type="dxa"/>
            </w:tcMar>
            <w:vAlign w:val="center"/>
          </w:tcPr>
          <w:p>
            <w:pPr>
              <w:widowControl w:val="on"/>
              <w:pBdr/>
              <w:spacing w:before="0" w:after="0" w:line="240" w:lineRule="auto"/>
              <w:ind w:left="0" w:right="0"/>
              <w:jc w:val="center"/>
            </w:pPr>
            <w:r>
              <w:rPr>
                <w:b/>
                <w:color w:val="000000"/>
                <w:position w:val="-3"/>
                <w:sz w:val="20"/>
                <w:szCs w:val="20"/>
              </w:rPr>
              <w:t xml:space="preserve">PHASES IN SKILL DEVELOPMENT</w:t>
            </w:r>
          </w:p>
        </w:tc>
      </w:tr>
      <w:tr>
        <w:trPr>
          <w:trHeight w:val="0" w:hRule="atLeast"/>
          <w:jc w:val="left"/>
        </w:trPr>
        <w:tc>
          <w:tcPr>
            <w:vMerge w:val="restart"/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widowControl w:val="on"/>
              <w:pBdr/>
              <w:spacing w:before="0" w:after="0" w:line="300" w:lineRule="auto"/>
              <w:ind w:left="0" w:right="0"/>
              <w:jc w:val="center"/>
              <w:textAlignment w:val="center"/>
            </w:pPr>
            <w:r>
              <w:rPr>
                <w:b/>
                <w:color w:val="000000"/>
                <w:position w:val="-4"/>
                <w:sz w:val="28"/>
                <w:szCs w:val="28"/>
              </w:rPr>
              <w:t xml:space="preserve">Curriculum Skill: "</w:t>
            </w:r>
            <w:r>
              <w:rPr>
                <w:b/>
                <w:i/>
                <w:color w:val="000000"/>
                <w:position w:val="-4"/>
                <w:sz w:val="28"/>
                <w:szCs w:val="28"/>
              </w:rPr>
              <w:t xml:space="preserve">Operations (General)"</w:t>
            </w:r>
          </w:p>
          <w:p/>
          <w:p>
            <w:pPr>
              <w:widowControl w:val="on"/>
              <w:pBdr/>
              <w:spacing w:before="0" w:after="0" w:line="300" w:lineRule="auto"/>
              <w:ind w:left="0" w:right="0"/>
              <w:jc w:val="left"/>
              <w:textAlignment w:val="center"/>
            </w:pPr>
            <w:r>
              <w:rPr>
                <w:b/>
                <w:color w:val="000000"/>
                <w:position w:val="-3"/>
                <w:sz w:val="24"/>
                <w:szCs w:val="24"/>
              </w:rPr>
              <w:t xml:space="preserve">GLD Level:</w:t>
            </w:r>
            <w:r>
              <w:rPr>
                <w:color w:val="000000"/>
                <w:position w:val="-3"/>
                <w:sz w:val="24"/>
                <w:szCs w:val="24"/>
              </w:rPr>
              <w:t xml:space="preserve"> Mild</w:t>
            </w:r>
          </w:p>
          <w:p>
            <w:pPr>
              <w:widowControl w:val="on"/>
              <w:pBdr/>
              <w:spacing w:before="0" w:after="0" w:line="300" w:lineRule="auto"/>
              <w:ind w:left="0" w:right="0"/>
              <w:jc w:val="left"/>
              <w:textAlignment w:val="center"/>
            </w:pPr>
            <w:r>
              <w:rPr>
                <w:b/>
                <w:color w:val="000000"/>
                <w:position w:val="-3"/>
                <w:sz w:val="24"/>
                <w:szCs w:val="24"/>
              </w:rPr>
              <w:t xml:space="preserve">Curricular Area:</w:t>
            </w:r>
            <w:r>
              <w:rPr>
                <w:color w:val="000000"/>
                <w:position w:val="-3"/>
                <w:sz w:val="24"/>
                <w:szCs w:val="24"/>
              </w:rPr>
              <w:t xml:space="preserve"> Mathematics</w:t>
            </w:r>
          </w:p>
          <w:p>
            <w:pPr>
              <w:widowControl w:val="on"/>
              <w:pBdr/>
              <w:spacing w:before="0" w:after="0" w:line="300" w:lineRule="auto"/>
              <w:ind w:left="0" w:right="0"/>
              <w:jc w:val="left"/>
              <w:textAlignment w:val="center"/>
            </w:pPr>
            <w:r>
              <w:rPr>
                <w:b/>
                <w:color w:val="000000"/>
                <w:position w:val="-3"/>
                <w:sz w:val="24"/>
                <w:szCs w:val="24"/>
              </w:rPr>
              <w:t xml:space="preserve">Curricular Strand:</w:t>
            </w:r>
            <w:r>
              <w:rPr>
                <w:color w:val="000000"/>
                <w:position w:val="-3"/>
                <w:sz w:val="24"/>
                <w:szCs w:val="24"/>
              </w:rPr>
              <w:t xml:space="preserve"> Operations </w:t>
            </w:r>
          </w:p>
        </w:tc>
        <w:tc>
          <w:tcPr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shd w:val="clear" w:color="auto" w:fill="F2F2F2"/>
            <w:tcMar>
              <w:top w:w="15" w:type="dxa"/>
              <w:bottom w:w="15" w:type="dxa"/>
            </w:tcMar>
            <w:vAlign w:val="center"/>
          </w:tcPr>
          <w:p/>
        </w:tc>
        <w:tc>
          <w:tcPr>
            <w:gridSpan w:val="3"/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shd w:val="clear" w:color="auto" w:fill="D6E3BC"/>
            <w:tcMar>
              <w:top w:w="15" w:type="dxa"/>
              <w:bottom w:w="15" w:type="dxa"/>
            </w:tcMar>
            <w:vAlign w:val="center"/>
          </w:tcPr>
          <w:p>
            <w:pPr>
              <w:widowControl w:val="on"/>
              <w:pBdr/>
              <w:spacing w:before="0" w:after="0" w:line="240" w:lineRule="auto"/>
              <w:ind w:left="0" w:right="0"/>
              <w:jc w:val="center"/>
            </w:pPr>
            <w:r>
              <w:rPr>
                <w:b/>
                <w:color w:val="000000"/>
                <w:position w:val="-3"/>
                <w:sz w:val="20"/>
                <w:szCs w:val="20"/>
              </w:rPr>
              <w:t xml:space="preserve">Attained</w:t>
            </w:r>
          </w:p>
        </w:tc>
        <w:tc>
          <w:tcPr>
            <w:gridSpan w:val="2"/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shd w:val="clear" w:color="auto" w:fill="FFFF99"/>
            <w:tcMar>
              <w:top w:w="15" w:type="dxa"/>
              <w:bottom w:w="15" w:type="dxa"/>
            </w:tcMar>
            <w:vAlign w:val="center"/>
          </w:tcPr>
          <w:p>
            <w:pPr>
              <w:widowControl w:val="on"/>
              <w:pBdr/>
              <w:spacing w:before="0" w:after="0" w:line="240" w:lineRule="auto"/>
              <w:ind w:left="0" w:right="0"/>
              <w:jc w:val="center"/>
            </w:pPr>
            <w:r>
              <w:rPr>
                <w:b/>
                <w:color w:val="000000"/>
                <w:position w:val="-3"/>
                <w:sz w:val="20"/>
                <w:szCs w:val="20"/>
              </w:rPr>
              <w:t xml:space="preserve">Extended</w:t>
            </w:r>
          </w:p>
        </w:tc>
      </w:tr>
      <w:tr>
        <w:trPr>
          <w:trHeight w:val="1650" w:hRule="atLeast"/>
          <w:jc w:val="left"/>
        </w:trPr>
        <w:tc>
          <w:tcPr>
            <w:gridSpan w:val="1"/>
            <w:vMerge w:val="continue"/>
          </w:tcPr>
          <w:p/>
        </w:tc>
        <w:tc>
          <w:tcPr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shd w:val="clear" w:color="auto" w:fill="F2F2F2"/>
            <w:tcMar>
              <w:top w:w="75" w:type="dxa"/>
              <w:bottom w:w="75" w:type="dxa"/>
            </w:tcMar>
            <w:textDirection w:val="tbRl"/>
            <w:vAlign w:val="center"/>
          </w:tcPr>
          <w:p>
            <w:pPr>
              <w:widowControl w:val="on"/>
              <w:pBdr/>
              <w:spacing w:before="0" w:after="0" w:line="240" w:lineRule="auto"/>
              <w:ind w:left="0" w:right="0"/>
              <w:jc w:val="right"/>
            </w:pPr>
            <w:r>
              <w:rPr>
                <w:b/>
                <w:color w:val="000000"/>
                <w:position w:val="-3"/>
                <w:sz w:val="22"/>
                <w:szCs w:val="22"/>
              </w:rPr>
              <w:t xml:space="preserve">Acquiring</w:t>
            </w:r>
          </w:p>
        </w:tc>
        <w:tc>
          <w:tcPr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shd w:val="clear" w:color="auto" w:fill="D6E3BC"/>
            <w:tcMar>
              <w:top w:w="75" w:type="dxa"/>
              <w:bottom w:w="75" w:type="dxa"/>
            </w:tcMar>
            <w:textDirection w:val="tbRl"/>
            <w:vAlign w:val="center"/>
          </w:tcPr>
          <w:p>
            <w:pPr>
              <w:widowControl w:val="on"/>
              <w:pBdr/>
              <w:spacing w:before="0" w:after="0" w:line="240" w:lineRule="auto"/>
              <w:ind w:left="0" w:right="0"/>
              <w:jc w:val="right"/>
            </w:pPr>
            <w:r>
              <w:rPr>
                <w:b/>
                <w:color w:val="000000"/>
                <w:position w:val="-3"/>
                <w:sz w:val="22"/>
                <w:szCs w:val="22"/>
              </w:rPr>
              <w:t xml:space="preserve">Becoming Fluent</w:t>
            </w:r>
          </w:p>
        </w:tc>
        <w:tc>
          <w:tcPr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shd w:val="clear" w:color="auto" w:fill="D6E3BC"/>
            <w:tcMar>
              <w:top w:w="75" w:type="dxa"/>
              <w:bottom w:w="75" w:type="dxa"/>
            </w:tcMar>
            <w:textDirection w:val="tbRl"/>
            <w:vAlign w:val="center"/>
          </w:tcPr>
          <w:p>
            <w:pPr>
              <w:widowControl w:val="on"/>
              <w:pBdr/>
              <w:spacing w:before="0" w:after="0" w:line="240" w:lineRule="auto"/>
              <w:ind w:left="0" w:right="0"/>
              <w:jc w:val="right"/>
            </w:pPr>
            <w:r>
              <w:rPr>
                <w:b/>
                <w:color w:val="000000"/>
                <w:position w:val="-3"/>
                <w:sz w:val="22"/>
                <w:szCs w:val="22"/>
              </w:rPr>
              <w:t xml:space="preserve">Maintenance</w:t>
            </w:r>
          </w:p>
        </w:tc>
        <w:tc>
          <w:tcPr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shd w:val="clear" w:color="auto" w:fill="D6E3BC"/>
            <w:tcMar>
              <w:top w:w="75" w:type="dxa"/>
              <w:bottom w:w="75" w:type="dxa"/>
            </w:tcMar>
            <w:textDirection w:val="tbRl"/>
            <w:vAlign w:val="center"/>
          </w:tcPr>
          <w:p>
            <w:pPr>
              <w:widowControl w:val="on"/>
              <w:pBdr/>
              <w:spacing w:before="0" w:after="0" w:line="240" w:lineRule="auto"/>
              <w:ind w:left="0" w:right="0"/>
              <w:jc w:val="right"/>
            </w:pPr>
            <w:r>
              <w:rPr>
                <w:b/>
                <w:color w:val="000000"/>
                <w:position w:val="-3"/>
                <w:sz w:val="22"/>
                <w:szCs w:val="22"/>
              </w:rPr>
              <w:t xml:space="preserve">Generalisation</w:t>
            </w:r>
          </w:p>
        </w:tc>
        <w:tc>
          <w:tcPr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shd w:val="clear" w:color="auto" w:fill="FFFF99"/>
            <w:tcMar>
              <w:top w:w="75" w:type="dxa"/>
              <w:bottom w:w="75" w:type="dxa"/>
            </w:tcMar>
            <w:textDirection w:val="tbRl"/>
            <w:vAlign w:val="center"/>
          </w:tcPr>
          <w:p>
            <w:pPr>
              <w:widowControl w:val="on"/>
              <w:pBdr/>
              <w:spacing w:before="0" w:after="0" w:line="240" w:lineRule="auto"/>
              <w:ind w:left="0" w:right="0"/>
              <w:jc w:val="right"/>
            </w:pPr>
            <w:r>
              <w:rPr>
                <w:b/>
                <w:color w:val="000000"/>
                <w:position w:val="-3"/>
                <w:sz w:val="22"/>
                <w:szCs w:val="22"/>
              </w:rPr>
              <w:t xml:space="preserve">Application</w:t>
            </w:r>
          </w:p>
        </w:tc>
        <w:tc>
          <w:tcPr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shd w:val="clear" w:color="auto" w:fill="FFFF99"/>
            <w:tcMar>
              <w:top w:w="75" w:type="dxa"/>
              <w:bottom w:w="75" w:type="dxa"/>
            </w:tcMar>
            <w:textDirection w:val="tbRl"/>
            <w:vAlign w:val="center"/>
          </w:tcPr>
          <w:p>
            <w:pPr>
              <w:widowControl w:val="on"/>
              <w:pBdr/>
              <w:spacing w:before="0" w:after="0" w:line="240" w:lineRule="auto"/>
              <w:ind w:left="0" w:right="0"/>
              <w:jc w:val="right"/>
            </w:pPr>
            <w:r>
              <w:rPr>
                <w:b/>
                <w:color w:val="000000"/>
                <w:position w:val="-3"/>
                <w:sz w:val="22"/>
                <w:szCs w:val="22"/>
              </w:rPr>
              <w:t xml:space="preserve">Adaptation</w:t>
            </w:r>
          </w:p>
        </w:tc>
      </w:tr>
      <w:tr>
        <w:trPr>
          <w:trHeight w:val="0" w:hRule="atLeast"/>
          <w:jc w:val="left"/>
        </w:trPr>
        <w:tc>
          <w:tcPr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widowControl w:val="on"/>
              <w:pBdr/>
              <w:spacing w:before="0" w:after="0" w:line="300" w:lineRule="auto"/>
              <w:ind w:left="0" w:right="0"/>
              <w:jc w:val="left"/>
              <w:textAlignment w:val="center"/>
            </w:pPr>
            <w:r>
              <w:rPr>
                <w:color w:val="000000"/>
                <w:position w:val="-3"/>
                <w:sz w:val="20"/>
                <w:szCs w:val="20"/>
              </w:rPr>
              <w:t xml:space="preserve">Estimate sums, differences, products and quotients of whole numbers:</w:t>
            </w:r>
          </w:p>
          <w:p>
            <w:pPr>
              <w:widowControl w:val="on"/>
              <w:pBdr/>
              <w:spacing w:before="0" w:after="0" w:line="240" w:lineRule="auto"/>
              <w:ind w:left="0" w:right="0"/>
              <w:jc w:val="left"/>
            </w:pPr>
            <w:r>
              <w:rPr>
                <w:color w:val="000000"/>
                <w:position w:val="-3"/>
                <w:sz w:val="20"/>
                <w:szCs w:val="20"/>
              </w:rPr>
              <w:t xml:space="preserve"> </w:t>
            </w:r>
          </w:p>
          <w:p>
            <w:pPr>
              <w:widowControl w:val="on"/>
              <w:pBdr/>
              <w:spacing w:before="0" w:after="0" w:line="300" w:lineRule="auto"/>
              <w:ind w:left="0" w:right="0"/>
              <w:jc w:val="left"/>
              <w:textAlignment w:val="center"/>
            </w:pPr>
            <w:r>
              <w:rPr>
                <w:i/>
                <w:color w:val="000000"/>
                <w:position w:val="-3"/>
                <w:sz w:val="20"/>
                <w:szCs w:val="20"/>
              </w:rPr>
              <w:t xml:space="preserve">use strategies for estimation, e.g. front-end estimation, rounding, clustering, special numbers</w:t>
            </w:r>
            <w:r>
              <w:rPr>
                <w:i/>
                <w:color w:val="000000"/>
                <w:position w:val="-3"/>
                <w:sz w:val="20"/>
                <w:szCs w:val="20"/>
              </w:rPr>
              <w:br/>
              <w:t xml:space="preserve"> estimate calculations and compute answers with a</w:t>
            </w:r>
            <w:r>
              <w:rPr>
                <w:i/>
                <w:color w:val="000000"/>
                <w:position w:val="-3"/>
                <w:sz w:val="20"/>
                <w:szCs w:val="20"/>
              </w:rPr>
              <w:br/>
              <w:t xml:space="preserve"> calculator  e.g. 450 x 9 = 4500 (estimation based on 450 x 10)  estimate first, then use calculator to get actual result</w:t>
            </w:r>
          </w:p>
        </w:tc>
        <w:tc>
          <w:tcPr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shd w:val="clear" w:color="auto" w:fill="F2F2F2"/>
            <w:tcMar>
              <w:top w:w="15" w:type="dxa"/>
              <w:bottom w:w="15" w:type="dxa"/>
            </w:tcMar>
            <w:vAlign w:val="center"/>
          </w:tcPr>
          <w:p/>
        </w:tc>
        <w:tc>
          <w:tcPr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shd w:val="clear" w:color="auto" w:fill="D6E3BC"/>
            <w:tcMar>
              <w:top w:w="15" w:type="dxa"/>
              <w:bottom w:w="15" w:type="dxa"/>
            </w:tcMar>
            <w:vAlign w:val="center"/>
          </w:tcPr>
          <w:p/>
        </w:tc>
        <w:tc>
          <w:tcPr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shd w:val="clear" w:color="auto" w:fill="D6E3BC"/>
            <w:tcMar>
              <w:top w:w="15" w:type="dxa"/>
              <w:bottom w:w="15" w:type="dxa"/>
            </w:tcMar>
            <w:vAlign w:val="center"/>
          </w:tcPr>
          <w:p/>
        </w:tc>
        <w:tc>
          <w:tcPr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shd w:val="clear" w:color="auto" w:fill="D6E3BC"/>
            <w:tcMar>
              <w:top w:w="15" w:type="dxa"/>
              <w:bottom w:w="15" w:type="dxa"/>
            </w:tcMar>
            <w:vAlign w:val="center"/>
          </w:tcPr>
          <w:p/>
        </w:tc>
        <w:tc>
          <w:tcPr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shd w:val="clear" w:color="auto" w:fill="FFFF99"/>
            <w:tcMar>
              <w:top w:w="15" w:type="dxa"/>
              <w:bottom w:w="15" w:type="dxa"/>
            </w:tcMar>
            <w:vAlign w:val="center"/>
          </w:tcPr>
          <w:p/>
        </w:tc>
        <w:tc>
          <w:tcPr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shd w:val="clear" w:color="auto" w:fill="FFFF99"/>
            <w:tcMar>
              <w:top w:w="15" w:type="dxa"/>
              <w:bottom w:w="15" w:type="dxa"/>
            </w:tcMar>
            <w:vAlign w:val="center"/>
          </w:tcPr>
          <w:p/>
        </w:tc>
      </w:tr>
      <w:tr>
        <w:trPr>
          <w:trHeight w:val="0" w:hRule="atLeast"/>
          <w:jc w:val="left"/>
        </w:trPr>
        <w:tc>
          <w:tcPr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widowControl w:val="on"/>
              <w:pBdr/>
              <w:spacing w:before="0" w:after="0" w:line="300" w:lineRule="auto"/>
              <w:ind w:left="0" w:right="0"/>
              <w:jc w:val="left"/>
              <w:textAlignment w:val="center"/>
            </w:pPr>
            <w:r>
              <w:rPr>
                <w:color w:val="000000"/>
                <w:position w:val="-3"/>
                <w:sz w:val="20"/>
                <w:szCs w:val="20"/>
              </w:rPr>
              <w:t xml:space="preserve">Add and subtract whole numbers and decimals (to three decimal places) without and with a calculator:</w:t>
            </w:r>
          </w:p>
          <w:p>
            <w:pPr>
              <w:widowControl w:val="on"/>
              <w:pBdr/>
              <w:spacing w:before="0" w:after="0" w:line="240" w:lineRule="auto"/>
              <w:ind w:left="0" w:right="0"/>
              <w:jc w:val="left"/>
            </w:pPr>
            <w:r>
              <w:rPr>
                <w:color w:val="000000"/>
                <w:position w:val="-3"/>
                <w:sz w:val="20"/>
                <w:szCs w:val="20"/>
              </w:rPr>
              <w:t xml:space="preserve"> </w:t>
            </w:r>
          </w:p>
          <w:p>
            <w:pPr>
              <w:widowControl w:val="on"/>
              <w:pBdr/>
              <w:spacing w:before="0" w:after="0" w:line="300" w:lineRule="auto"/>
              <w:ind w:left="0" w:right="0"/>
              <w:jc w:val="left"/>
              <w:textAlignment w:val="center"/>
            </w:pPr>
            <w:r>
              <w:rPr>
                <w:i/>
                <w:color w:val="000000"/>
                <w:position w:val="-3"/>
                <w:sz w:val="20"/>
                <w:szCs w:val="20"/>
              </w:rPr>
              <w:t xml:space="preserve">develop and extend the use of existing algorithms</w:t>
            </w:r>
          </w:p>
        </w:tc>
        <w:tc>
          <w:tcPr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shd w:val="clear" w:color="auto" w:fill="F2F2F2"/>
            <w:tcMar>
              <w:top w:w="15" w:type="dxa"/>
              <w:bottom w:w="15" w:type="dxa"/>
            </w:tcMar>
            <w:vAlign w:val="center"/>
          </w:tcPr>
          <w:p/>
        </w:tc>
        <w:tc>
          <w:tcPr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shd w:val="clear" w:color="auto" w:fill="D6E3BC"/>
            <w:tcMar>
              <w:top w:w="15" w:type="dxa"/>
              <w:bottom w:w="15" w:type="dxa"/>
            </w:tcMar>
            <w:vAlign w:val="center"/>
          </w:tcPr>
          <w:p/>
        </w:tc>
        <w:tc>
          <w:tcPr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shd w:val="clear" w:color="auto" w:fill="D6E3BC"/>
            <w:tcMar>
              <w:top w:w="15" w:type="dxa"/>
              <w:bottom w:w="15" w:type="dxa"/>
            </w:tcMar>
            <w:vAlign w:val="center"/>
          </w:tcPr>
          <w:p/>
        </w:tc>
        <w:tc>
          <w:tcPr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shd w:val="clear" w:color="auto" w:fill="D6E3BC"/>
            <w:tcMar>
              <w:top w:w="15" w:type="dxa"/>
              <w:bottom w:w="15" w:type="dxa"/>
            </w:tcMar>
            <w:vAlign w:val="center"/>
          </w:tcPr>
          <w:p/>
        </w:tc>
        <w:tc>
          <w:tcPr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shd w:val="clear" w:color="auto" w:fill="FFFF99"/>
            <w:tcMar>
              <w:top w:w="15" w:type="dxa"/>
              <w:bottom w:w="15" w:type="dxa"/>
            </w:tcMar>
            <w:vAlign w:val="center"/>
          </w:tcPr>
          <w:p/>
        </w:tc>
        <w:tc>
          <w:tcPr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shd w:val="clear" w:color="auto" w:fill="FFFF99"/>
            <w:tcMar>
              <w:top w:w="15" w:type="dxa"/>
              <w:bottom w:w="15" w:type="dxa"/>
            </w:tcMar>
            <w:vAlign w:val="center"/>
          </w:tcPr>
          <w:p/>
        </w:tc>
      </w:tr>
      <w:tr>
        <w:trPr>
          <w:trHeight w:val="0" w:hRule="atLeast"/>
          <w:jc w:val="left"/>
        </w:trPr>
        <w:tc>
          <w:tcPr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widowControl w:val="on"/>
              <w:pBdr/>
              <w:spacing w:before="0" w:after="0" w:line="300" w:lineRule="auto"/>
              <w:ind w:left="0" w:right="0"/>
              <w:jc w:val="left"/>
              <w:textAlignment w:val="center"/>
            </w:pPr>
            <w:r>
              <w:rPr>
                <w:color w:val="000000"/>
                <w:position w:val="-3"/>
                <w:sz w:val="20"/>
                <w:szCs w:val="20"/>
              </w:rPr>
              <w:t xml:space="preserve">Multiply a decimal (up to three places) by a whole number, without and with a calculator:</w:t>
            </w:r>
          </w:p>
          <w:p>
            <w:pPr>
              <w:widowControl w:val="on"/>
              <w:pBdr/>
              <w:spacing w:before="0" w:after="0" w:line="240" w:lineRule="auto"/>
              <w:ind w:left="0" w:right="0"/>
              <w:jc w:val="left"/>
            </w:pPr>
            <w:r>
              <w:rPr>
                <w:color w:val="000000"/>
                <w:position w:val="-3"/>
                <w:sz w:val="20"/>
                <w:szCs w:val="20"/>
              </w:rPr>
              <w:t xml:space="preserve"> </w:t>
            </w:r>
          </w:p>
          <w:p>
            <w:pPr>
              <w:widowControl w:val="on"/>
              <w:pBdr/>
              <w:spacing w:before="0" w:after="0" w:line="300" w:lineRule="auto"/>
              <w:ind w:left="0" w:right="0"/>
              <w:jc w:val="left"/>
              <w:textAlignment w:val="center"/>
            </w:pPr>
            <w:r>
              <w:rPr>
                <w:i/>
                <w:color w:val="000000"/>
                <w:position w:val="-3"/>
                <w:sz w:val="20"/>
                <w:szCs w:val="20"/>
              </w:rPr>
              <w:t xml:space="preserve">develop and extend the use of existing algorithms 8.125 x 9</w:t>
            </w:r>
          </w:p>
        </w:tc>
        <w:tc>
          <w:tcPr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shd w:val="clear" w:color="auto" w:fill="F2F2F2"/>
            <w:tcMar>
              <w:top w:w="15" w:type="dxa"/>
              <w:bottom w:w="15" w:type="dxa"/>
            </w:tcMar>
            <w:vAlign w:val="center"/>
          </w:tcPr>
          <w:p/>
        </w:tc>
        <w:tc>
          <w:tcPr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shd w:val="clear" w:color="auto" w:fill="D6E3BC"/>
            <w:tcMar>
              <w:top w:w="15" w:type="dxa"/>
              <w:bottom w:w="15" w:type="dxa"/>
            </w:tcMar>
            <w:vAlign w:val="center"/>
          </w:tcPr>
          <w:p/>
        </w:tc>
        <w:tc>
          <w:tcPr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shd w:val="clear" w:color="auto" w:fill="D6E3BC"/>
            <w:tcMar>
              <w:top w:w="15" w:type="dxa"/>
              <w:bottom w:w="15" w:type="dxa"/>
            </w:tcMar>
            <w:vAlign w:val="center"/>
          </w:tcPr>
          <w:p/>
        </w:tc>
        <w:tc>
          <w:tcPr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shd w:val="clear" w:color="auto" w:fill="D6E3BC"/>
            <w:tcMar>
              <w:top w:w="15" w:type="dxa"/>
              <w:bottom w:w="15" w:type="dxa"/>
            </w:tcMar>
            <w:vAlign w:val="center"/>
          </w:tcPr>
          <w:p/>
        </w:tc>
        <w:tc>
          <w:tcPr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shd w:val="clear" w:color="auto" w:fill="FFFF99"/>
            <w:tcMar>
              <w:top w:w="15" w:type="dxa"/>
              <w:bottom w:w="15" w:type="dxa"/>
            </w:tcMar>
            <w:vAlign w:val="center"/>
          </w:tcPr>
          <w:p/>
        </w:tc>
        <w:tc>
          <w:tcPr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shd w:val="clear" w:color="auto" w:fill="FFFF99"/>
            <w:tcMar>
              <w:top w:w="15" w:type="dxa"/>
              <w:bottom w:w="15" w:type="dxa"/>
            </w:tcMar>
            <w:vAlign w:val="center"/>
          </w:tcPr>
          <w:p/>
        </w:tc>
      </w:tr>
      <w:tr>
        <w:trPr>
          <w:trHeight w:val="0" w:hRule="atLeast"/>
          <w:jc w:val="left"/>
        </w:trPr>
        <w:tc>
          <w:tcPr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widowControl w:val="on"/>
              <w:pBdr/>
              <w:spacing w:before="0" w:after="0" w:line="300" w:lineRule="auto"/>
              <w:ind w:left="0" w:right="0"/>
              <w:jc w:val="left"/>
              <w:textAlignment w:val="center"/>
            </w:pPr>
            <w:r>
              <w:rPr>
                <w:color w:val="000000"/>
                <w:position w:val="-3"/>
                <w:sz w:val="20"/>
                <w:szCs w:val="20"/>
              </w:rPr>
              <w:t xml:space="preserve">Divide a three-digit number by a two-digit number, without and with a calculator:</w:t>
            </w:r>
          </w:p>
          <w:p>
            <w:pPr>
              <w:widowControl w:val="on"/>
              <w:pBdr/>
              <w:spacing w:before="0" w:after="0" w:line="240" w:lineRule="auto"/>
              <w:ind w:left="0" w:right="0"/>
              <w:jc w:val="left"/>
            </w:pPr>
            <w:r>
              <w:rPr>
                <w:color w:val="000000"/>
                <w:position w:val="-3"/>
                <w:sz w:val="20"/>
                <w:szCs w:val="20"/>
              </w:rPr>
              <w:t xml:space="preserve"> </w:t>
            </w:r>
          </w:p>
          <w:p>
            <w:pPr>
              <w:widowControl w:val="on"/>
              <w:pBdr/>
              <w:spacing w:before="0" w:after="0" w:line="300" w:lineRule="auto"/>
              <w:ind w:left="0" w:right="0"/>
              <w:jc w:val="left"/>
              <w:textAlignment w:val="center"/>
            </w:pPr>
            <w:r>
              <w:rPr>
                <w:i/>
                <w:color w:val="000000"/>
                <w:position w:val="-3"/>
                <w:sz w:val="20"/>
                <w:szCs w:val="20"/>
              </w:rPr>
              <w:t xml:space="preserve">explore the concept of division with concrete materials</w:t>
            </w:r>
            <w:r>
              <w:rPr>
                <w:i/>
                <w:color w:val="000000"/>
                <w:position w:val="-3"/>
                <w:sz w:val="20"/>
                <w:szCs w:val="20"/>
              </w:rPr>
              <w:br/>
              <w:t xml:space="preserve"> develop the long division algorithm from repeated</w:t>
            </w:r>
            <w:r>
              <w:rPr>
                <w:i/>
                <w:color w:val="000000"/>
                <w:position w:val="-3"/>
                <w:sz w:val="20"/>
                <w:szCs w:val="20"/>
              </w:rPr>
              <w:br/>
              <w:t xml:space="preserve"> subtraction and multiples of repeated subtraction</w:t>
            </w:r>
          </w:p>
        </w:tc>
        <w:tc>
          <w:tcPr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shd w:val="clear" w:color="auto" w:fill="F2F2F2"/>
            <w:tcMar>
              <w:top w:w="15" w:type="dxa"/>
              <w:bottom w:w="15" w:type="dxa"/>
            </w:tcMar>
            <w:vAlign w:val="center"/>
          </w:tcPr>
          <w:p/>
        </w:tc>
        <w:tc>
          <w:tcPr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shd w:val="clear" w:color="auto" w:fill="D6E3BC"/>
            <w:tcMar>
              <w:top w:w="15" w:type="dxa"/>
              <w:bottom w:w="15" w:type="dxa"/>
            </w:tcMar>
            <w:vAlign w:val="center"/>
          </w:tcPr>
          <w:p/>
        </w:tc>
        <w:tc>
          <w:tcPr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shd w:val="clear" w:color="auto" w:fill="D6E3BC"/>
            <w:tcMar>
              <w:top w:w="15" w:type="dxa"/>
              <w:bottom w:w="15" w:type="dxa"/>
            </w:tcMar>
            <w:vAlign w:val="center"/>
          </w:tcPr>
          <w:p/>
        </w:tc>
        <w:tc>
          <w:tcPr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shd w:val="clear" w:color="auto" w:fill="D6E3BC"/>
            <w:tcMar>
              <w:top w:w="15" w:type="dxa"/>
              <w:bottom w:w="15" w:type="dxa"/>
            </w:tcMar>
            <w:vAlign w:val="center"/>
          </w:tcPr>
          <w:p/>
        </w:tc>
        <w:tc>
          <w:tcPr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shd w:val="clear" w:color="auto" w:fill="FFFF99"/>
            <w:tcMar>
              <w:top w:w="15" w:type="dxa"/>
              <w:bottom w:w="15" w:type="dxa"/>
            </w:tcMar>
            <w:vAlign w:val="center"/>
          </w:tcPr>
          <w:p/>
        </w:tc>
        <w:tc>
          <w:tcPr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shd w:val="clear" w:color="auto" w:fill="FFFF99"/>
            <w:tcMar>
              <w:top w:w="15" w:type="dxa"/>
              <w:bottom w:w="15" w:type="dxa"/>
            </w:tcMar>
            <w:vAlign w:val="center"/>
          </w:tcPr>
          <w:p/>
        </w:tc>
      </w:tr>
      <w:tr>
        <w:trPr>
          <w:trHeight w:val="0" w:hRule="atLeast"/>
          <w:jc w:val="left"/>
        </w:trPr>
        <w:tc>
          <w:tcPr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widowControl w:val="on"/>
              <w:pBdr/>
              <w:spacing w:before="0" w:after="0" w:line="300" w:lineRule="auto"/>
              <w:ind w:left="0" w:right="0"/>
              <w:jc w:val="left"/>
              <w:textAlignment w:val="center"/>
            </w:pPr>
            <w:r>
              <w:rPr>
                <w:color w:val="000000"/>
                <w:position w:val="-3"/>
                <w:sz w:val="20"/>
                <w:szCs w:val="20"/>
              </w:rPr>
              <w:t xml:space="preserve">Divide a decimal number by a whole number, without and with a calculator:</w:t>
            </w:r>
          </w:p>
          <w:p>
            <w:pPr>
              <w:widowControl w:val="on"/>
              <w:pBdr/>
              <w:spacing w:before="0" w:after="0" w:line="240" w:lineRule="auto"/>
              <w:ind w:left="0" w:right="0"/>
              <w:jc w:val="left"/>
            </w:pPr>
            <w:r>
              <w:rPr>
                <w:color w:val="000000"/>
                <w:position w:val="-3"/>
                <w:sz w:val="20"/>
                <w:szCs w:val="20"/>
              </w:rPr>
              <w:t xml:space="preserve"> </w:t>
            </w:r>
          </w:p>
          <w:p>
            <w:pPr>
              <w:widowControl w:val="on"/>
              <w:pBdr/>
              <w:spacing w:before="0" w:after="0" w:line="300" w:lineRule="auto"/>
              <w:ind w:left="0" w:right="0"/>
              <w:jc w:val="left"/>
              <w:textAlignment w:val="center"/>
            </w:pPr>
            <w:r>
              <w:rPr>
                <w:i/>
                <w:color w:val="000000"/>
                <w:position w:val="-3"/>
                <w:sz w:val="20"/>
                <w:szCs w:val="20"/>
              </w:rPr>
              <w:t xml:space="preserve">explore the concept of division of decimals with concrete materials, money and measurement</w:t>
            </w:r>
            <w:r>
              <w:rPr>
                <w:i/>
                <w:color w:val="000000"/>
                <w:position w:val="-3"/>
                <w:sz w:val="20"/>
                <w:szCs w:val="20"/>
              </w:rPr>
              <w:br/>
              <w:t xml:space="preserve"> extend the algorithm in conjunction with place value 75.6 divided by 4</w:t>
            </w:r>
          </w:p>
        </w:tc>
        <w:tc>
          <w:tcPr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shd w:val="clear" w:color="auto" w:fill="F2F2F2"/>
            <w:tcMar>
              <w:top w:w="15" w:type="dxa"/>
              <w:bottom w:w="15" w:type="dxa"/>
            </w:tcMar>
            <w:vAlign w:val="center"/>
          </w:tcPr>
          <w:p/>
        </w:tc>
        <w:tc>
          <w:tcPr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shd w:val="clear" w:color="auto" w:fill="D6E3BC"/>
            <w:tcMar>
              <w:top w:w="15" w:type="dxa"/>
              <w:bottom w:w="15" w:type="dxa"/>
            </w:tcMar>
            <w:vAlign w:val="center"/>
          </w:tcPr>
          <w:p/>
        </w:tc>
        <w:tc>
          <w:tcPr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shd w:val="clear" w:color="auto" w:fill="D6E3BC"/>
            <w:tcMar>
              <w:top w:w="15" w:type="dxa"/>
              <w:bottom w:w="15" w:type="dxa"/>
            </w:tcMar>
            <w:vAlign w:val="center"/>
          </w:tcPr>
          <w:p/>
        </w:tc>
        <w:tc>
          <w:tcPr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shd w:val="clear" w:color="auto" w:fill="D6E3BC"/>
            <w:tcMar>
              <w:top w:w="15" w:type="dxa"/>
              <w:bottom w:w="15" w:type="dxa"/>
            </w:tcMar>
            <w:vAlign w:val="center"/>
          </w:tcPr>
          <w:p/>
        </w:tc>
        <w:tc>
          <w:tcPr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shd w:val="clear" w:color="auto" w:fill="FFFF99"/>
            <w:tcMar>
              <w:top w:w="15" w:type="dxa"/>
              <w:bottom w:w="15" w:type="dxa"/>
            </w:tcMar>
            <w:vAlign w:val="center"/>
          </w:tcPr>
          <w:p/>
        </w:tc>
        <w:tc>
          <w:tcPr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shd w:val="clear" w:color="auto" w:fill="FFFF99"/>
            <w:tcMar>
              <w:top w:w="15" w:type="dxa"/>
              <w:bottom w:w="15" w:type="dxa"/>
            </w:tcMar>
            <w:vAlign w:val="center"/>
          </w:tcPr>
          <w:p/>
        </w:tc>
      </w:tr>
      <w:tr>
        <w:trPr>
          <w:trHeight w:val="0" w:hRule="atLeast"/>
          <w:jc w:val="left"/>
        </w:trPr>
        <w:tc>
          <w:tcPr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widowControl w:val="on"/>
              <w:pBdr/>
              <w:spacing w:before="0" w:after="0" w:line="300" w:lineRule="auto"/>
              <w:ind w:left="0" w:right="0"/>
              <w:jc w:val="left"/>
              <w:textAlignment w:val="center"/>
            </w:pPr>
            <w:r>
              <w:rPr>
                <w:color w:val="000000"/>
                <w:position w:val="-3"/>
                <w:sz w:val="20"/>
                <w:szCs w:val="20"/>
              </w:rPr>
              <w:t xml:space="preserve">Estimate sums, differences, products and quotients of decimals:</w:t>
            </w:r>
          </w:p>
          <w:p>
            <w:pPr>
              <w:widowControl w:val="on"/>
              <w:pBdr/>
              <w:spacing w:before="0" w:after="0" w:line="240" w:lineRule="auto"/>
              <w:ind w:left="0" w:right="0"/>
              <w:jc w:val="left"/>
            </w:pPr>
            <w:r>
              <w:rPr>
                <w:color w:val="000000"/>
                <w:position w:val="-3"/>
                <w:sz w:val="20"/>
                <w:szCs w:val="20"/>
              </w:rPr>
              <w:t xml:space="preserve"> </w:t>
            </w:r>
          </w:p>
          <w:p>
            <w:pPr>
              <w:widowControl w:val="on"/>
              <w:pBdr/>
              <w:spacing w:before="0" w:after="0" w:line="300" w:lineRule="auto"/>
              <w:ind w:left="0" w:right="0"/>
              <w:jc w:val="left"/>
              <w:textAlignment w:val="center"/>
            </w:pPr>
            <w:r>
              <w:rPr>
                <w:i/>
                <w:color w:val="000000"/>
                <w:position w:val="-3"/>
                <w:sz w:val="20"/>
                <w:szCs w:val="20"/>
              </w:rPr>
              <w:t xml:space="preserve">use strategies for estimation</w:t>
            </w:r>
            <w:r>
              <w:rPr>
                <w:i/>
                <w:color w:val="000000"/>
                <w:position w:val="-3"/>
                <w:sz w:val="20"/>
                <w:szCs w:val="20"/>
              </w:rPr>
              <w:br/>
              <w:t xml:space="preserve"> estimate calculations and compute answers with a calculator</w:t>
            </w:r>
          </w:p>
        </w:tc>
        <w:tc>
          <w:tcPr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shd w:val="clear" w:color="auto" w:fill="F2F2F2"/>
            <w:tcMar>
              <w:top w:w="15" w:type="dxa"/>
              <w:bottom w:w="15" w:type="dxa"/>
            </w:tcMar>
            <w:vAlign w:val="center"/>
          </w:tcPr>
          <w:p/>
        </w:tc>
        <w:tc>
          <w:tcPr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shd w:val="clear" w:color="auto" w:fill="D6E3BC"/>
            <w:tcMar>
              <w:top w:w="15" w:type="dxa"/>
              <w:bottom w:w="15" w:type="dxa"/>
            </w:tcMar>
            <w:vAlign w:val="center"/>
          </w:tcPr>
          <w:p/>
        </w:tc>
        <w:tc>
          <w:tcPr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shd w:val="clear" w:color="auto" w:fill="D6E3BC"/>
            <w:tcMar>
              <w:top w:w="15" w:type="dxa"/>
              <w:bottom w:w="15" w:type="dxa"/>
            </w:tcMar>
            <w:vAlign w:val="center"/>
          </w:tcPr>
          <w:p/>
        </w:tc>
        <w:tc>
          <w:tcPr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shd w:val="clear" w:color="auto" w:fill="D6E3BC"/>
            <w:tcMar>
              <w:top w:w="15" w:type="dxa"/>
              <w:bottom w:w="15" w:type="dxa"/>
            </w:tcMar>
            <w:vAlign w:val="center"/>
          </w:tcPr>
          <w:p/>
        </w:tc>
        <w:tc>
          <w:tcPr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shd w:val="clear" w:color="auto" w:fill="FFFF99"/>
            <w:tcMar>
              <w:top w:w="15" w:type="dxa"/>
              <w:bottom w:w="15" w:type="dxa"/>
            </w:tcMar>
            <w:vAlign w:val="center"/>
          </w:tcPr>
          <w:p/>
        </w:tc>
        <w:tc>
          <w:tcPr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shd w:val="clear" w:color="auto" w:fill="FFFF99"/>
            <w:tcMar>
              <w:top w:w="15" w:type="dxa"/>
              <w:bottom w:w="15" w:type="dxa"/>
            </w:tcMar>
            <w:vAlign w:val="center"/>
          </w:tcPr>
          <w:p/>
        </w:tc>
      </w:tr>
      <w:tr>
        <w:trPr>
          <w:trHeight w:val="0" w:hRule="atLeast"/>
          <w:jc w:val="left"/>
        </w:trPr>
        <w:tc>
          <w:tcPr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widowControl w:val="on"/>
              <w:pBdr/>
              <w:spacing w:before="0" w:after="0" w:line="300" w:lineRule="auto"/>
              <w:ind w:left="0" w:right="0"/>
              <w:jc w:val="left"/>
              <w:textAlignment w:val="center"/>
            </w:pPr>
            <w:r>
              <w:rPr>
                <w:color w:val="000000"/>
                <w:position w:val="-3"/>
                <w:sz w:val="20"/>
                <w:szCs w:val="20"/>
              </w:rPr>
              <w:t xml:space="preserve">Add and subtract whole numbers and decimals (to three decimal places) without and with a calculator</w:t>
            </w:r>
          </w:p>
        </w:tc>
        <w:tc>
          <w:tcPr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shd w:val="clear" w:color="auto" w:fill="F2F2F2"/>
            <w:tcMar>
              <w:top w:w="15" w:type="dxa"/>
              <w:bottom w:w="15" w:type="dxa"/>
            </w:tcMar>
            <w:vAlign w:val="center"/>
          </w:tcPr>
          <w:p/>
        </w:tc>
        <w:tc>
          <w:tcPr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shd w:val="clear" w:color="auto" w:fill="D6E3BC"/>
            <w:tcMar>
              <w:top w:w="15" w:type="dxa"/>
              <w:bottom w:w="15" w:type="dxa"/>
            </w:tcMar>
            <w:vAlign w:val="center"/>
          </w:tcPr>
          <w:p/>
        </w:tc>
        <w:tc>
          <w:tcPr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shd w:val="clear" w:color="auto" w:fill="D6E3BC"/>
            <w:tcMar>
              <w:top w:w="15" w:type="dxa"/>
              <w:bottom w:w="15" w:type="dxa"/>
            </w:tcMar>
            <w:vAlign w:val="center"/>
          </w:tcPr>
          <w:p/>
        </w:tc>
        <w:tc>
          <w:tcPr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shd w:val="clear" w:color="auto" w:fill="D6E3BC"/>
            <w:tcMar>
              <w:top w:w="15" w:type="dxa"/>
              <w:bottom w:w="15" w:type="dxa"/>
            </w:tcMar>
            <w:vAlign w:val="center"/>
          </w:tcPr>
          <w:p/>
        </w:tc>
        <w:tc>
          <w:tcPr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shd w:val="clear" w:color="auto" w:fill="FFFF99"/>
            <w:tcMar>
              <w:top w:w="15" w:type="dxa"/>
              <w:bottom w:w="15" w:type="dxa"/>
            </w:tcMar>
            <w:vAlign w:val="center"/>
          </w:tcPr>
          <w:p/>
        </w:tc>
        <w:tc>
          <w:tcPr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shd w:val="clear" w:color="auto" w:fill="FFFF99"/>
            <w:tcMar>
              <w:top w:w="15" w:type="dxa"/>
              <w:bottom w:w="15" w:type="dxa"/>
            </w:tcMar>
            <w:vAlign w:val="center"/>
          </w:tcPr>
          <w:p/>
        </w:tc>
      </w:tr>
      <w:tr>
        <w:trPr>
          <w:trHeight w:val="0" w:hRule="atLeast"/>
          <w:jc w:val="left"/>
        </w:trPr>
        <w:tc>
          <w:tcPr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widowControl w:val="on"/>
              <w:pBdr/>
              <w:spacing w:before="0" w:after="0" w:line="300" w:lineRule="auto"/>
              <w:ind w:left="0" w:right="0"/>
              <w:jc w:val="left"/>
              <w:textAlignment w:val="center"/>
            </w:pPr>
            <w:r>
              <w:rPr>
                <w:color w:val="000000"/>
                <w:position w:val="-3"/>
                <w:sz w:val="20"/>
                <w:szCs w:val="20"/>
              </w:rPr>
              <w:t xml:space="preserve">Multiply a decimal by a decimal, without and with a calculator:</w:t>
            </w:r>
          </w:p>
          <w:p>
            <w:pPr>
              <w:widowControl w:val="on"/>
              <w:pBdr/>
              <w:spacing w:before="0" w:after="0" w:line="240" w:lineRule="auto"/>
              <w:ind w:left="0" w:right="0"/>
              <w:jc w:val="left"/>
            </w:pPr>
            <w:r>
              <w:rPr>
                <w:color w:val="000000"/>
                <w:position w:val="-3"/>
                <w:sz w:val="20"/>
                <w:szCs w:val="20"/>
              </w:rPr>
              <w:t xml:space="preserve"> </w:t>
            </w:r>
          </w:p>
          <w:p>
            <w:pPr>
              <w:widowControl w:val="on"/>
              <w:pBdr/>
              <w:spacing w:before="0" w:after="0" w:line="300" w:lineRule="auto"/>
              <w:ind w:left="0" w:right="0"/>
              <w:jc w:val="left"/>
              <w:textAlignment w:val="center"/>
            </w:pPr>
            <w:r>
              <w:rPr>
                <w:i/>
                <w:color w:val="000000"/>
                <w:position w:val="-3"/>
                <w:sz w:val="20"/>
                <w:szCs w:val="20"/>
              </w:rPr>
              <w:t xml:space="preserve">develop and extend the use of existing algorithms</w:t>
            </w:r>
            <w:r>
              <w:rPr>
                <w:i/>
                <w:color w:val="000000"/>
                <w:position w:val="-3"/>
                <w:sz w:val="20"/>
                <w:szCs w:val="20"/>
              </w:rPr>
              <w:br/>
              <w:t xml:space="preserve"> 7.25 x 1.5; 13.2 x 0.75</w:t>
            </w:r>
            <w:r>
              <w:rPr>
                <w:i/>
                <w:color w:val="000000"/>
                <w:position w:val="-3"/>
                <w:sz w:val="20"/>
                <w:szCs w:val="20"/>
              </w:rPr>
              <w:br/>
              <w:t xml:space="preserve"> understand that multiplication does not always make larger</w:t>
            </w:r>
          </w:p>
        </w:tc>
        <w:tc>
          <w:tcPr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shd w:val="clear" w:color="auto" w:fill="F2F2F2"/>
            <w:tcMar>
              <w:top w:w="15" w:type="dxa"/>
              <w:bottom w:w="15" w:type="dxa"/>
            </w:tcMar>
            <w:vAlign w:val="center"/>
          </w:tcPr>
          <w:p/>
        </w:tc>
        <w:tc>
          <w:tcPr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shd w:val="clear" w:color="auto" w:fill="D6E3BC"/>
            <w:tcMar>
              <w:top w:w="15" w:type="dxa"/>
              <w:bottom w:w="15" w:type="dxa"/>
            </w:tcMar>
            <w:vAlign w:val="center"/>
          </w:tcPr>
          <w:p/>
        </w:tc>
        <w:tc>
          <w:tcPr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shd w:val="clear" w:color="auto" w:fill="D6E3BC"/>
            <w:tcMar>
              <w:top w:w="15" w:type="dxa"/>
              <w:bottom w:w="15" w:type="dxa"/>
            </w:tcMar>
            <w:vAlign w:val="center"/>
          </w:tcPr>
          <w:p/>
        </w:tc>
        <w:tc>
          <w:tcPr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shd w:val="clear" w:color="auto" w:fill="D6E3BC"/>
            <w:tcMar>
              <w:top w:w="15" w:type="dxa"/>
              <w:bottom w:w="15" w:type="dxa"/>
            </w:tcMar>
            <w:vAlign w:val="center"/>
          </w:tcPr>
          <w:p/>
        </w:tc>
        <w:tc>
          <w:tcPr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shd w:val="clear" w:color="auto" w:fill="FFFF99"/>
            <w:tcMar>
              <w:top w:w="15" w:type="dxa"/>
              <w:bottom w:w="15" w:type="dxa"/>
            </w:tcMar>
            <w:vAlign w:val="center"/>
          </w:tcPr>
          <w:p/>
        </w:tc>
        <w:tc>
          <w:tcPr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shd w:val="clear" w:color="auto" w:fill="FFFF99"/>
            <w:tcMar>
              <w:top w:w="15" w:type="dxa"/>
              <w:bottom w:w="15" w:type="dxa"/>
            </w:tcMar>
            <w:vAlign w:val="center"/>
          </w:tcPr>
          <w:p/>
        </w:tc>
      </w:tr>
      <w:tr>
        <w:trPr>
          <w:trHeight w:val="0" w:hRule="atLeast"/>
          <w:jc w:val="left"/>
        </w:trPr>
        <w:tc>
          <w:tcPr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widowControl w:val="on"/>
              <w:pBdr/>
              <w:spacing w:before="0" w:after="0" w:line="300" w:lineRule="auto"/>
              <w:ind w:left="0" w:right="0"/>
              <w:jc w:val="left"/>
              <w:textAlignment w:val="center"/>
            </w:pPr>
            <w:r>
              <w:rPr>
                <w:color w:val="000000"/>
                <w:position w:val="-3"/>
                <w:sz w:val="20"/>
                <w:szCs w:val="20"/>
              </w:rPr>
              <w:t xml:space="preserve">Divide a four-digit number by a two-digit number, without and with a calculator:</w:t>
            </w:r>
          </w:p>
          <w:p>
            <w:pPr>
              <w:widowControl w:val="on"/>
              <w:pBdr/>
              <w:spacing w:before="0" w:after="0" w:line="240" w:lineRule="auto"/>
              <w:ind w:left="0" w:right="0"/>
              <w:jc w:val="left"/>
            </w:pPr>
            <w:r>
              <w:rPr>
                <w:color w:val="000000"/>
                <w:position w:val="-3"/>
                <w:sz w:val="20"/>
                <w:szCs w:val="20"/>
              </w:rPr>
              <w:t xml:space="preserve"> </w:t>
            </w:r>
          </w:p>
          <w:p>
            <w:pPr>
              <w:widowControl w:val="on"/>
              <w:pBdr/>
              <w:spacing w:before="0" w:after="0" w:line="300" w:lineRule="auto"/>
              <w:ind w:left="0" w:right="0"/>
              <w:jc w:val="left"/>
              <w:textAlignment w:val="center"/>
            </w:pPr>
            <w:r>
              <w:rPr>
                <w:i/>
                <w:color w:val="000000"/>
                <w:position w:val="-3"/>
                <w:sz w:val="20"/>
                <w:szCs w:val="20"/>
              </w:rPr>
              <w:t xml:space="preserve">develop and extend the use of existing algorithms 7852 divided by 26</w:t>
            </w:r>
          </w:p>
        </w:tc>
        <w:tc>
          <w:tcPr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shd w:val="clear" w:color="auto" w:fill="F2F2F2"/>
            <w:tcMar>
              <w:top w:w="15" w:type="dxa"/>
              <w:bottom w:w="15" w:type="dxa"/>
            </w:tcMar>
            <w:vAlign w:val="center"/>
          </w:tcPr>
          <w:p/>
        </w:tc>
        <w:tc>
          <w:tcPr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shd w:val="clear" w:color="auto" w:fill="D6E3BC"/>
            <w:tcMar>
              <w:top w:w="15" w:type="dxa"/>
              <w:bottom w:w="15" w:type="dxa"/>
            </w:tcMar>
            <w:vAlign w:val="center"/>
          </w:tcPr>
          <w:p/>
        </w:tc>
        <w:tc>
          <w:tcPr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shd w:val="clear" w:color="auto" w:fill="D6E3BC"/>
            <w:tcMar>
              <w:top w:w="15" w:type="dxa"/>
              <w:bottom w:w="15" w:type="dxa"/>
            </w:tcMar>
            <w:vAlign w:val="center"/>
          </w:tcPr>
          <w:p/>
        </w:tc>
        <w:tc>
          <w:tcPr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shd w:val="clear" w:color="auto" w:fill="D6E3BC"/>
            <w:tcMar>
              <w:top w:w="15" w:type="dxa"/>
              <w:bottom w:w="15" w:type="dxa"/>
            </w:tcMar>
            <w:vAlign w:val="center"/>
          </w:tcPr>
          <w:p/>
        </w:tc>
        <w:tc>
          <w:tcPr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shd w:val="clear" w:color="auto" w:fill="FFFF99"/>
            <w:tcMar>
              <w:top w:w="15" w:type="dxa"/>
              <w:bottom w:w="15" w:type="dxa"/>
            </w:tcMar>
            <w:vAlign w:val="center"/>
          </w:tcPr>
          <w:p/>
        </w:tc>
        <w:tc>
          <w:tcPr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shd w:val="clear" w:color="auto" w:fill="FFFF99"/>
            <w:tcMar>
              <w:top w:w="15" w:type="dxa"/>
              <w:bottom w:w="15" w:type="dxa"/>
            </w:tcMar>
            <w:vAlign w:val="center"/>
          </w:tcPr>
          <w:p/>
        </w:tc>
      </w:tr>
      <w:tr>
        <w:trPr>
          <w:trHeight w:val="0" w:hRule="atLeast"/>
          <w:jc w:val="left"/>
        </w:trPr>
        <w:tc>
          <w:tcPr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widowControl w:val="on"/>
              <w:pBdr/>
              <w:spacing w:before="0" w:after="0" w:line="300" w:lineRule="auto"/>
              <w:ind w:left="0" w:right="0"/>
              <w:jc w:val="left"/>
              <w:textAlignment w:val="center"/>
            </w:pPr>
            <w:r>
              <w:rPr>
                <w:color w:val="000000"/>
                <w:position w:val="-3"/>
                <w:sz w:val="20"/>
                <w:szCs w:val="20"/>
              </w:rPr>
              <w:t xml:space="preserve">Divide a decimal number by a decimal, without and with a calculator:</w:t>
            </w:r>
          </w:p>
          <w:p>
            <w:pPr>
              <w:widowControl w:val="on"/>
              <w:pBdr/>
              <w:spacing w:before="0" w:after="0" w:line="240" w:lineRule="auto"/>
              <w:ind w:left="0" w:right="0"/>
              <w:jc w:val="left"/>
            </w:pPr>
            <w:r>
              <w:rPr>
                <w:color w:val="000000"/>
                <w:position w:val="-3"/>
                <w:sz w:val="20"/>
                <w:szCs w:val="20"/>
              </w:rPr>
              <w:t xml:space="preserve"> </w:t>
            </w:r>
          </w:p>
          <w:p>
            <w:pPr>
              <w:widowControl w:val="on"/>
              <w:pBdr/>
              <w:spacing w:before="0" w:after="0" w:line="300" w:lineRule="auto"/>
              <w:ind w:left="0" w:right="0"/>
              <w:jc w:val="left"/>
              <w:textAlignment w:val="center"/>
            </w:pPr>
            <w:r>
              <w:rPr>
                <w:i/>
                <w:color w:val="000000"/>
                <w:position w:val="-3"/>
                <w:sz w:val="20"/>
                <w:szCs w:val="20"/>
              </w:rPr>
              <w:t xml:space="preserve">explore the concept of division by decimals with  concrete materials, money and measurement</w:t>
            </w:r>
            <w:r>
              <w:rPr>
                <w:i/>
                <w:color w:val="000000"/>
                <w:position w:val="-3"/>
                <w:sz w:val="20"/>
                <w:szCs w:val="20"/>
              </w:rPr>
              <w:br/>
              <w:t xml:space="preserve"> 36.92 divided by 2.6; 27.6 divided by 0.2</w:t>
            </w:r>
            <w:r>
              <w:rPr>
                <w:i/>
                <w:color w:val="000000"/>
                <w:position w:val="-3"/>
                <w:sz w:val="20"/>
                <w:szCs w:val="20"/>
              </w:rPr>
              <w:br/>
              <w:t xml:space="preserve"> understand that division does not always make smaller</w:t>
            </w:r>
          </w:p>
        </w:tc>
        <w:tc>
          <w:tcPr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shd w:val="clear" w:color="auto" w:fill="F2F2F2"/>
            <w:tcMar>
              <w:top w:w="15" w:type="dxa"/>
              <w:bottom w:w="15" w:type="dxa"/>
            </w:tcMar>
            <w:vAlign w:val="center"/>
          </w:tcPr>
          <w:p/>
        </w:tc>
        <w:tc>
          <w:tcPr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shd w:val="clear" w:color="auto" w:fill="D6E3BC"/>
            <w:tcMar>
              <w:top w:w="15" w:type="dxa"/>
              <w:bottom w:w="15" w:type="dxa"/>
            </w:tcMar>
            <w:vAlign w:val="center"/>
          </w:tcPr>
          <w:p/>
        </w:tc>
        <w:tc>
          <w:tcPr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shd w:val="clear" w:color="auto" w:fill="D6E3BC"/>
            <w:tcMar>
              <w:top w:w="15" w:type="dxa"/>
              <w:bottom w:w="15" w:type="dxa"/>
            </w:tcMar>
            <w:vAlign w:val="center"/>
          </w:tcPr>
          <w:p/>
        </w:tc>
        <w:tc>
          <w:tcPr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shd w:val="clear" w:color="auto" w:fill="D6E3BC"/>
            <w:tcMar>
              <w:top w:w="15" w:type="dxa"/>
              <w:bottom w:w="15" w:type="dxa"/>
            </w:tcMar>
            <w:vAlign w:val="center"/>
          </w:tcPr>
          <w:p/>
        </w:tc>
        <w:tc>
          <w:tcPr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shd w:val="clear" w:color="auto" w:fill="FFFF99"/>
            <w:tcMar>
              <w:top w:w="15" w:type="dxa"/>
              <w:bottom w:w="15" w:type="dxa"/>
            </w:tcMar>
            <w:vAlign w:val="center"/>
          </w:tcPr>
          <w:p/>
        </w:tc>
        <w:tc>
          <w:tcPr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shd w:val="clear" w:color="auto" w:fill="FFFF99"/>
            <w:tcMar>
              <w:top w:w="15" w:type="dxa"/>
              <w:bottom w:w="15" w:type="dxa"/>
            </w:tcMar>
            <w:vAlign w:val="center"/>
          </w:tcPr>
          <w:p/>
        </w:tc>
      </w:tr>
    </w:tbl>
    <w:p w:rsidR="00B91D64" w:rsidRDefault="00B91D64" w:rsidP="00B91D64"/>
    <w:p w:rsidR="003E63B6" w:rsidRPr="00B91D64" w:rsidRDefault="00B91D64" w:rsidP="00B91D64">
      <w:pPr>
        <w:tabs>
          <w:tab w:val="left" w:pos="9285"/>
        </w:tabs>
      </w:pPr>
      <w:r>
        <w:tab/>
      </w:r>
      <w:bookmarkStart w:id="0" w:name="_GoBack"/>
      <w:bookmarkEnd w:id="0"/>
    </w:p>
    <w:sectPr w:rsidR="003E63B6" w:rsidRPr="00B91D64" w:rsidSect="002B4CE7">
      <w:footerReference w:type="default" r:id="rId8"/>
      <w:pgSz w:w="11906" w:h="16838"/>
      <w:pgMar w:top="720" w:right="720" w:bottom="720" w:left="720" w:header="708" w:footer="338" w:gutter="0"/>
      <w:pgBorders w:offsetFrom="page">
        <w:top w:val="single" w:sz="18" w:space="24" w:color="EB8509"/>
        <w:left w:val="single" w:sz="18" w:space="24" w:color="EB8509"/>
        <w:bottom w:val="single" w:sz="18" w:space="24" w:color="EB8509"/>
        <w:right w:val="single" w:sz="18" w:space="24" w:color="EB8509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703D" w:rsidRDefault="00A7703D" w:rsidP="00E27C18">
      <w:pPr>
        <w:spacing w:after="0" w:line="240" w:lineRule="auto"/>
      </w:pPr>
      <w:r>
        <w:separator/>
      </w:r>
    </w:p>
  </w:endnote>
  <w:endnote w:type="continuationSeparator" w:id="0">
    <w:p w:rsidR="00A7703D" w:rsidRDefault="00A7703D" w:rsidP="00E27C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0" w:type="auto"/>
      <w:tblLook w:val="04A0" w:firstRow="1" w:lastRow="0" w:firstColumn="1" w:lastColumn="0" w:noHBand="0" w:noVBand="1"/>
    </w:tblPr>
    <w:tblGrid>
      <w:gridCol w:w="10682"/>
    </w:tblGrid>
    <w:tr w:rsidR="002B4CE7" w:rsidTr="00B91D64">
      <w:tc>
        <w:tcPr>
          <w:tcW w:w="10682" w:type="dxa"/>
          <w:tcBorders>
            <w:top w:val="single" w:sz="12" w:space="0" w:color="E98409"/>
            <w:left w:val="nil"/>
            <w:bottom w:val="nil"/>
            <w:right w:val="nil"/>
          </w:tcBorders>
        </w:tcPr>
        <w:p w:rsidR="002B4CE7" w:rsidRDefault="002B4CE7" w:rsidP="00206877">
          <w:pPr>
            <w:jc w:val="both"/>
            <w:rPr>
              <w:sz w:val="20"/>
            </w:rPr>
          </w:pPr>
        </w:p>
        <w:p w:rsidR="002B4CE7" w:rsidRDefault="002B4CE7" w:rsidP="00206877">
          <w:pPr>
            <w:jc w:val="both"/>
            <w:rPr>
              <w:sz w:val="20"/>
            </w:rPr>
          </w:pPr>
          <w:r>
            <w:rPr>
              <w:sz w:val="20"/>
            </w:rPr>
            <w:t>The C</w:t>
          </w:r>
          <w:r w:rsidRPr="000C29E7">
            <w:rPr>
              <w:sz w:val="20"/>
            </w:rPr>
            <w:t>urriculum Access Tool for Students with General Learning Disability (CAT-GLD) is a framework developed by the Special Education Support Service based on the Guidelines for Teachers of Students with General Learning Disabilities produced by the National Council for Curriculum and Assessment.</w:t>
          </w:r>
        </w:p>
      </w:tc>
    </w:tr>
  </w:tbl>
  <w:p w:rsidR="002B4CE7" w:rsidRPr="000C6F9D" w:rsidRDefault="002B4CE7" w:rsidP="002B4CE7">
    <w:pPr>
      <w:spacing w:line="240" w:lineRule="auto"/>
      <w:jc w:val="both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703D" w:rsidRDefault="00A7703D" w:rsidP="00E27C18">
      <w:pPr>
        <w:spacing w:after="0" w:line="240" w:lineRule="auto"/>
      </w:pPr>
      <w:r>
        <w:separator/>
      </w:r>
    </w:p>
  </w:footnote>
  <w:footnote w:type="continuationSeparator" w:id="0">
    <w:p w:rsidR="00A7703D" w:rsidRDefault="00A7703D" w:rsidP="00E27C1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9704983">
    <w:multiLevelType w:val="hybridMultilevel"/>
    <w:lvl w:ilvl="0" w:tplc="9174793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0">
    <w:nsid w:val="262A5BB1"/>
    <w:multiLevelType w:val="multilevel"/>
    <w:tmpl w:val="FBB4C07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">
    <w:nsid w:val="2EE2481C"/>
    <w:multiLevelType w:val="multilevel"/>
    <w:tmpl w:val="0C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>
    <w:nsid w:val="4E030807"/>
    <w:multiLevelType w:val="multilevel"/>
    <w:tmpl w:val="0C0A0025"/>
    <w:lvl w:ilvl="0">
      <w:start w:val="1"/>
      <w:numFmt w:val="decimal"/>
      <w:pStyle w:val="Heading1PHPDOCX"/>
      <w:lvlText w:val="%1"/>
      <w:lvlJc w:val="left"/>
      <w:pPr>
        <w:ind w:left="432" w:hanging="432"/>
      </w:pPr>
    </w:lvl>
    <w:lvl w:ilvl="1">
      <w:start w:val="1"/>
      <w:numFmt w:val="decimal"/>
      <w:pStyle w:val="Heading2PHPDOCX"/>
      <w:lvlText w:val="%1.%2"/>
      <w:lvlJc w:val="left"/>
      <w:pPr>
        <w:ind w:left="576" w:hanging="576"/>
      </w:pPr>
    </w:lvl>
    <w:lvl w:ilvl="2">
      <w:start w:val="1"/>
      <w:numFmt w:val="decimal"/>
      <w:pStyle w:val="Heading3PHPDOCX"/>
      <w:lvlText w:val="%1.%2.%3"/>
      <w:lvlJc w:val="left"/>
      <w:pPr>
        <w:ind w:left="720" w:hanging="720"/>
      </w:pPr>
    </w:lvl>
    <w:lvl w:ilvl="3">
      <w:start w:val="1"/>
      <w:numFmt w:val="decimal"/>
      <w:pStyle w:val="Heading4PHPDOCX"/>
      <w:lvlText w:val="%1.%2.%3.%4"/>
      <w:lvlJc w:val="left"/>
      <w:pPr>
        <w:ind w:left="864" w:hanging="864"/>
      </w:pPr>
    </w:lvl>
    <w:lvl w:ilvl="4">
      <w:start w:val="1"/>
      <w:numFmt w:val="decimal"/>
      <w:pStyle w:val="Heading5PHPDOCX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PHPDOCX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PHPDOCX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PHPDOCX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PHPDOCX"/>
      <w:lvlText w:val="%1.%2.%3.%4.%5.%6.%7.%8.%9"/>
      <w:lvlJc w:val="left"/>
      <w:pPr>
        <w:ind w:left="1584" w:hanging="1584"/>
      </w:pPr>
    </w:lvl>
  </w:abstractNum>
  <w:abstractNum w:abstractNumId="3">
    <w:nsid w:val="516B4C7F"/>
    <w:multiLevelType w:val="hybridMultilevel"/>
    <w:tmpl w:val="D562937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623468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56792213"/>
    <w:multiLevelType w:val="hybridMultilevel"/>
    <w:tmpl w:val="C502613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27097E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4"/>
  </w:num>
  <w:num w:numId="5">
    <w:abstractNumId w:val="1"/>
  </w:num>
  <w:num w:numId="6">
    <w:abstractNumId w:val="0"/>
  </w:num>
  <w:num w:numId="7">
    <w:abstractNumId w:val="2"/>
  </w:num>
  <w:num w:numId="29704983">
    <w:abstractNumId w:val="2970498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29E7"/>
    <w:rsid w:val="00065982"/>
    <w:rsid w:val="000952F0"/>
    <w:rsid w:val="000C29E7"/>
    <w:rsid w:val="000C6F9D"/>
    <w:rsid w:val="000E3AAA"/>
    <w:rsid w:val="00100DAF"/>
    <w:rsid w:val="00112097"/>
    <w:rsid w:val="00206877"/>
    <w:rsid w:val="00243155"/>
    <w:rsid w:val="002A7E45"/>
    <w:rsid w:val="002B4CE7"/>
    <w:rsid w:val="0031165D"/>
    <w:rsid w:val="003355D2"/>
    <w:rsid w:val="003A01FA"/>
    <w:rsid w:val="003C2D97"/>
    <w:rsid w:val="003E63B6"/>
    <w:rsid w:val="00431C9D"/>
    <w:rsid w:val="00473673"/>
    <w:rsid w:val="004D2663"/>
    <w:rsid w:val="005365D7"/>
    <w:rsid w:val="0055560C"/>
    <w:rsid w:val="00583895"/>
    <w:rsid w:val="005C50C0"/>
    <w:rsid w:val="005F05E1"/>
    <w:rsid w:val="0060530E"/>
    <w:rsid w:val="00650A69"/>
    <w:rsid w:val="00733F88"/>
    <w:rsid w:val="007360AE"/>
    <w:rsid w:val="00754D81"/>
    <w:rsid w:val="007C1B30"/>
    <w:rsid w:val="007C54DE"/>
    <w:rsid w:val="00822908"/>
    <w:rsid w:val="00842F15"/>
    <w:rsid w:val="008F3616"/>
    <w:rsid w:val="009075DC"/>
    <w:rsid w:val="00910E83"/>
    <w:rsid w:val="00942436"/>
    <w:rsid w:val="00965DF3"/>
    <w:rsid w:val="00A007BB"/>
    <w:rsid w:val="00A473FE"/>
    <w:rsid w:val="00A7703D"/>
    <w:rsid w:val="00AA2E1C"/>
    <w:rsid w:val="00B14BFE"/>
    <w:rsid w:val="00B35A76"/>
    <w:rsid w:val="00B36636"/>
    <w:rsid w:val="00B91D64"/>
    <w:rsid w:val="00B9605E"/>
    <w:rsid w:val="00BF4527"/>
    <w:rsid w:val="00C57AA6"/>
    <w:rsid w:val="00CC70F0"/>
    <w:rsid w:val="00D24FC3"/>
    <w:rsid w:val="00D76D17"/>
    <w:rsid w:val="00DA6777"/>
    <w:rsid w:val="00E27C18"/>
    <w:rsid w:val="00E44B48"/>
    <w:rsid w:val="00E56A4F"/>
    <w:rsid w:val="00E7619D"/>
    <w:rsid w:val="00EB6357"/>
    <w:rsid w:val="00EB6C5B"/>
    <w:rsid w:val="00EF1202"/>
    <w:rsid w:val="00EF154F"/>
    <w:rsid w:val="00F35B38"/>
    <w:rsid w:val="00FF24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C29E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E27C1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7C18"/>
  </w:style>
  <w:style w:type="paragraph" w:styleId="Footer">
    <w:name w:val="footer"/>
    <w:basedOn w:val="Normal"/>
    <w:link w:val="FooterChar"/>
    <w:uiPriority w:val="99"/>
    <w:unhideWhenUsed/>
    <w:rsid w:val="00E27C1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7C18"/>
  </w:style>
  <w:style w:type="paragraph" w:styleId="BalloonText">
    <w:name w:val="Balloon Text"/>
    <w:basedOn w:val="Normal"/>
    <w:link w:val="BalloonTextChar"/>
    <w:uiPriority w:val="99"/>
    <w:semiHidden/>
    <w:unhideWhenUsed/>
    <w:rsid w:val="006053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530E"/>
    <w:rPr>
      <w:rFonts w:ascii="Tahoma" w:hAnsi="Tahoma" w:cs="Tahoma"/>
      <w:sz w:val="16"/>
      <w:szCs w:val="16"/>
    </w:rPr>
  </w:style>
  <w:style w:type="character" w:styleId="DefaultParagraphFontPHPDOCX">
    <w:name w:val="Default Paragraph Font PHPDOCX"/>
    <w:uiPriority w:val="1"/>
    <w:semiHidden/>
    <w:unhideWhenUsed/>
  </w:style>
  <w:style w:type="paragraph" w:styleId="ListParagraphPHPDOCX">
    <w:name w:val="List Paragraph PHPDOCX"/>
    <w:basedOn w:val="Normal"/>
    <w:uiPriority w:val="34"/>
    <w:qFormat/>
    <w:rsid w:val="00DF064E"/>
    <w:pPr>
      <w:ind w:left="720"/>
      <w:contextualSpacing/>
    </w:pPr>
  </w:style>
  <w:style w:type="paragraph" w:styleId="TitlePHPDOCX">
    <w:name w:val="Title PHPDOCX"/>
    <w:basedOn w:val="Normal"/>
    <w:next w:val="Normal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PHPDOCX">
    <w:name w:val="Subtitle PHPDOCX"/>
    <w:basedOn w:val="Normal"/>
    <w:next w:val="Normal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NormalTablePHPDOCX">
    <w:name w:val="Normal Table PHPDOCX"/>
    <w:uiPriority w:val="99"/>
    <w:semiHidden/>
    <w:unhideWhenUsed/>
    <w:qFormat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PHPDOCX">
    <w:name w:val="Table Grid PHPDOCX"/>
    <w:uiPriority w:val="59"/>
    <w:rsid w:val="00493A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PHPDOCX">
    <w:name w:val="footnote Text PHPDOCX"/>
    <w:basedOn w:val="Normal"/>
    <w:link w:val="foot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styleId="endnoteTextPHPDOCX">
    <w:name w:val="endnote Text PHPDOCX"/>
    <w:basedOn w:val="Normal"/>
    <w:link w:val="end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C29E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E27C1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7C18"/>
  </w:style>
  <w:style w:type="paragraph" w:styleId="Footer">
    <w:name w:val="footer"/>
    <w:basedOn w:val="Normal"/>
    <w:link w:val="FooterChar"/>
    <w:uiPriority w:val="99"/>
    <w:unhideWhenUsed/>
    <w:rsid w:val="00E27C1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7C18"/>
  </w:style>
  <w:style w:type="paragraph" w:styleId="BalloonText">
    <w:name w:val="Balloon Text"/>
    <w:basedOn w:val="Normal"/>
    <w:link w:val="BalloonTextChar"/>
    <w:uiPriority w:val="99"/>
    <w:semiHidden/>
    <w:unhideWhenUsed/>
    <w:rsid w:val="006053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530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Relationship Id="rI486010586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2</Words>
  <Characters>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enda</dc:creator>
  <cp:lastModifiedBy>enda</cp:lastModifiedBy>
  <cp:revision>50</cp:revision>
  <cp:lastPrinted>2012-12-10T10:10:00Z</cp:lastPrinted>
  <dcterms:created xsi:type="dcterms:W3CDTF">2012-12-10T09:58:00Z</dcterms:created>
  <dcterms:modified xsi:type="dcterms:W3CDTF">2013-03-19T12:24:00Z</dcterms:modified>
</cp:coreProperties>
</file>